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32EA5" w:rsidRPr="00F4333D" w:rsidTr="0013360A">
        <w:trPr>
          <w:trHeight w:val="432"/>
          <w:jc w:val="center"/>
        </w:trPr>
        <w:tc>
          <w:tcPr>
            <w:tcW w:w="2785"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FSP 1XX: </w:t>
            </w:r>
            <w:r w:rsidR="00EB7D4E">
              <w:rPr>
                <w:rFonts w:ascii="Garamond" w:hAnsi="Garamond"/>
                <w:i w:val="0"/>
              </w:rPr>
              <w:t>First Seminar Program</w:t>
            </w:r>
            <w:r w:rsidR="00EB7D4E">
              <w:rPr>
                <w:rStyle w:val="EndnoteReference"/>
                <w:rFonts w:ascii="Garamond" w:hAnsi="Garamond"/>
                <w:i w:val="0"/>
              </w:rPr>
              <w:endnoteReference w:id="2"/>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32EA5"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w:t>
            </w:r>
            <w:r w:rsidR="00EF54F0">
              <w:rPr>
                <w:rFonts w:ascii="Garamond" w:hAnsi="Garamond"/>
                <w:i w:val="0"/>
              </w:rPr>
              <w:t>: Structu</w:t>
            </w:r>
            <w:r>
              <w:rPr>
                <w:rFonts w:ascii="Garamond" w:hAnsi="Garamond"/>
                <w:i w:val="0"/>
              </w:rPr>
              <w:t xml:space="preserve">res &amp; Algorithms for Education </w:t>
            </w:r>
            <w:r w:rsidR="00EF54F0">
              <w:rPr>
                <w:rFonts w:ascii="Garamond" w:hAnsi="Garamond"/>
                <w:i w:val="0"/>
              </w:rPr>
              <w:t>I</w:t>
            </w:r>
          </w:p>
        </w:tc>
        <w:tc>
          <w:tcPr>
            <w:tcW w:w="2700" w:type="dxa"/>
            <w:vAlign w:val="center"/>
          </w:tcPr>
          <w:p w:rsidR="00632EA5"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F54F0" w:rsidRPr="00F4333D" w:rsidTr="0013360A">
        <w:trPr>
          <w:trHeight w:val="432"/>
          <w:jc w:val="center"/>
        </w:trPr>
        <w:tc>
          <w:tcPr>
            <w:tcW w:w="2785"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F54F0"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EF54F0">
              <w:rPr>
                <w:rFonts w:ascii="Garamond" w:hAnsi="Garamond"/>
                <w:i w:val="0"/>
              </w:rPr>
              <w:t xml:space="preserve"> Requirement</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436A6" w:rsidRPr="00F4333D" w:rsidTr="0013360A">
        <w:trPr>
          <w:trHeight w:val="432"/>
          <w:jc w:val="center"/>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w:t>
            </w:r>
            <w:r w:rsidR="00EF54F0">
              <w:rPr>
                <w:rFonts w:ascii="Garamond" w:hAnsi="Garamond"/>
                <w:i w:val="0"/>
              </w:rPr>
              <w:t xml:space="preserve"> 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5B06AB" w:rsidRPr="00F4333D" w:rsidTr="0013360A">
        <w:trPr>
          <w:trHeight w:val="432"/>
        </w:trPr>
        <w:tc>
          <w:tcPr>
            <w:tcW w:w="2785"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633"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B06AB" w:rsidRPr="00F4333D" w:rsidTr="0013360A">
        <w:trPr>
          <w:trHeight w:val="432"/>
        </w:trPr>
        <w:tc>
          <w:tcPr>
            <w:tcW w:w="2785"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5B06AB" w:rsidRPr="00F4333D" w:rsidRDefault="005B06AB" w:rsidP="005B06A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436A6" w:rsidRPr="00F4333D" w:rsidTr="0013360A">
        <w:trPr>
          <w:trHeight w:val="432"/>
        </w:trPr>
        <w:tc>
          <w:tcPr>
            <w:tcW w:w="2785"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C75967" w:rsidRPr="00F4333D" w:rsidRDefault="00D436A6"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C75967" w:rsidRPr="00F4333D" w:rsidTr="0013360A">
        <w:trPr>
          <w:trHeight w:val="432"/>
        </w:trPr>
        <w:tc>
          <w:tcPr>
            <w:tcW w:w="2785"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633"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75967" w:rsidRPr="00F4333D" w:rsidRDefault="00662AE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D436A6" w:rsidRPr="00F4333D" w:rsidTr="0013360A">
        <w:trPr>
          <w:trHeight w:val="432"/>
        </w:trPr>
        <w:tc>
          <w:tcPr>
            <w:tcW w:w="2785"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436A6" w:rsidRPr="00F4333D" w:rsidTr="0013360A">
        <w:trPr>
          <w:trHeight w:val="432"/>
        </w:trPr>
        <w:tc>
          <w:tcPr>
            <w:tcW w:w="2785"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D436A6" w:rsidRPr="00F4333D" w:rsidRDefault="00D436A6" w:rsidP="00D436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31" w:rsidRDefault="00460031" w:rsidP="00632EA5">
      <w:pPr>
        <w:spacing w:after="0" w:line="240" w:lineRule="auto"/>
      </w:pPr>
      <w:r>
        <w:separator/>
      </w:r>
    </w:p>
  </w:endnote>
  <w:endnote w:type="continuationSeparator" w:id="0">
    <w:p w:rsidR="00460031" w:rsidRDefault="00460031"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74127" w:rsidRPr="00DF3378">
        <w:rPr>
          <w:rFonts w:ascii="Garamond" w:hAnsi="Garamond"/>
          <w:i w:val="0"/>
          <w:sz w:val="22"/>
        </w:rPr>
        <w:t xml:space="preserve">Students may be exempt from this course based upon </w:t>
      </w:r>
      <w:r w:rsidR="00274127">
        <w:rPr>
          <w:rFonts w:ascii="Garamond" w:hAnsi="Garamond"/>
          <w:i w:val="0"/>
          <w:sz w:val="22"/>
        </w:rPr>
        <w:t>SAT, ACT, or AP</w:t>
      </w:r>
      <w:r w:rsidR="00274127" w:rsidRPr="00DF3378">
        <w:rPr>
          <w:rFonts w:ascii="Garamond" w:hAnsi="Garamond"/>
          <w:i w:val="0"/>
          <w:sz w:val="22"/>
        </w:rPr>
        <w:t xml:space="preserve"> scores</w:t>
      </w:r>
      <w:bookmarkStart w:id="0" w:name="_GoBack"/>
      <w:bookmarkEnd w:id="0"/>
      <w:r w:rsidR="00274127" w:rsidRPr="00DF3378">
        <w:rPr>
          <w:rFonts w:ascii="Garamond" w:hAnsi="Garamond"/>
          <w:i w:val="0"/>
          <w:sz w:val="22"/>
        </w:rPr>
        <w:t>.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B7D4E" w:rsidRDefault="00EB7D4E">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 and Elective courses should be used to meet </w:t>
      </w:r>
      <w:r w:rsidR="00EF54F0" w:rsidRPr="00DF3378">
        <w:rPr>
          <w:rFonts w:ascii="Garamond" w:hAnsi="Garamond"/>
          <w:i w:val="0"/>
          <w:sz w:val="22"/>
        </w:rPr>
        <w:t xml:space="preserve">the </w:t>
      </w:r>
      <w:r w:rsidR="00EF54F0" w:rsidRPr="00DF3378">
        <w:rPr>
          <w:rFonts w:ascii="Garamond" w:hAnsi="Garamond"/>
          <w:b/>
          <w:i w:val="0"/>
          <w:sz w:val="22"/>
        </w:rPr>
        <w:t>gender</w:t>
      </w:r>
      <w:r w:rsidR="00EF54F0" w:rsidRPr="00DF3378">
        <w:rPr>
          <w:rFonts w:ascii="Garamond" w:hAnsi="Garamond"/>
          <w:i w:val="0"/>
          <w:sz w:val="22"/>
        </w:rPr>
        <w:t xml:space="preserve"> Liberal Learning requirement. The </w:t>
      </w:r>
      <w:r w:rsidR="00EF54F0" w:rsidRPr="00DF3378">
        <w:rPr>
          <w:rFonts w:ascii="Garamond" w:hAnsi="Garamond"/>
          <w:b/>
          <w:i w:val="0"/>
          <w:sz w:val="22"/>
        </w:rPr>
        <w:t xml:space="preserve">global awareness </w:t>
      </w:r>
      <w:r w:rsidR="00EF54F0" w:rsidRPr="00DF3378">
        <w:rPr>
          <w:rFonts w:ascii="Garamond" w:hAnsi="Garamond"/>
          <w:i w:val="0"/>
          <w:sz w:val="22"/>
        </w:rPr>
        <w:t xml:space="preserve">Liberal Learning </w:t>
      </w:r>
      <w:r w:rsidR="005B06AB">
        <w:rPr>
          <w:rFonts w:ascii="Garamond" w:hAnsi="Garamond"/>
          <w:i w:val="0"/>
          <w:sz w:val="22"/>
        </w:rPr>
        <w:t xml:space="preserve">and </w:t>
      </w:r>
      <w:r w:rsidR="005B06AB">
        <w:rPr>
          <w:rFonts w:ascii="Garamond" w:hAnsi="Garamond"/>
          <w:b/>
          <w:i w:val="0"/>
          <w:sz w:val="22"/>
        </w:rPr>
        <w:t xml:space="preserve">US History </w:t>
      </w:r>
      <w:r w:rsidR="00EF54F0" w:rsidRPr="00DF3378">
        <w:rPr>
          <w:rFonts w:ascii="Garamond" w:hAnsi="Garamond"/>
          <w:i w:val="0"/>
          <w:sz w:val="22"/>
        </w:rPr>
        <w:t>requirement</w:t>
      </w:r>
      <w:r w:rsidR="005B06AB">
        <w:rPr>
          <w:rFonts w:ascii="Garamond" w:hAnsi="Garamond"/>
          <w:i w:val="0"/>
          <w:sz w:val="22"/>
        </w:rPr>
        <w:t>s</w:t>
      </w:r>
      <w:r w:rsidR="00EF54F0" w:rsidRPr="00DF3378">
        <w:rPr>
          <w:rFonts w:ascii="Garamond" w:hAnsi="Garamond"/>
          <w:i w:val="0"/>
          <w:sz w:val="22"/>
        </w:rPr>
        <w:t xml:space="preserve"> should be </w:t>
      </w:r>
      <w:r w:rsidR="005B06AB">
        <w:rPr>
          <w:rFonts w:ascii="Garamond" w:hAnsi="Garamond"/>
          <w:i w:val="0"/>
          <w:sz w:val="22"/>
        </w:rPr>
        <w:t>satisfied</w:t>
      </w:r>
      <w:r w:rsidR="00EF54F0" w:rsidRPr="00DF3378">
        <w:rPr>
          <w:rFonts w:ascii="Garamond" w:hAnsi="Garamond"/>
          <w:i w:val="0"/>
          <w:sz w:val="22"/>
        </w:rPr>
        <w:t xml:space="preserve"> through the </w:t>
      </w:r>
      <w:r w:rsidR="00D436A6">
        <w:rPr>
          <w:rFonts w:ascii="Garamond" w:hAnsi="Garamond"/>
          <w:i w:val="0"/>
          <w:sz w:val="22"/>
        </w:rPr>
        <w:t>History</w:t>
      </w:r>
      <w:r w:rsidR="00EF54F0" w:rsidRPr="00DF3378">
        <w:rPr>
          <w:rFonts w:ascii="Garamond" w:hAnsi="Garamond"/>
          <w:i w:val="0"/>
          <w:sz w:val="22"/>
        </w:rPr>
        <w:t xml:space="preserve"> major.</w:t>
      </w:r>
      <w:r w:rsidR="005B06AB">
        <w:rPr>
          <w:rFonts w:ascii="Garamond" w:hAnsi="Garamond"/>
          <w:i w:val="0"/>
          <w:sz w:val="22"/>
        </w:rPr>
        <w:t xml:space="preserve"> </w:t>
      </w:r>
    </w:p>
    <w:p w:rsidR="00F50849" w:rsidRPr="00DF3378" w:rsidRDefault="00F50849">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D436A6" w:rsidRPr="00DF3378" w:rsidRDefault="00D436A6">
      <w:pPr>
        <w:pStyle w:val="EndnoteText"/>
        <w:rPr>
          <w:rFonts w:ascii="Garamond" w:hAnsi="Garamond"/>
          <w:i w:val="0"/>
          <w:sz w:val="22"/>
        </w:rPr>
      </w:pPr>
    </w:p>
  </w:endnote>
  <w:endnote w:id="5">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D436A6" w:rsidRPr="00DF3378" w:rsidRDefault="00D436A6">
      <w:pPr>
        <w:pStyle w:val="EndnoteText"/>
        <w:rPr>
          <w:rFonts w:ascii="Garamond" w:hAnsi="Garamond"/>
          <w:i w:val="0"/>
          <w:sz w:val="22"/>
        </w:rPr>
      </w:pPr>
    </w:p>
  </w:endnote>
  <w:endnote w:id="6">
    <w:p w:rsidR="00D436A6" w:rsidRDefault="00D436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D436A6" w:rsidRPr="00DF3378" w:rsidRDefault="00D436A6">
      <w:pPr>
        <w:pStyle w:val="EndnoteText"/>
        <w:rPr>
          <w:rFonts w:ascii="Garamond" w:hAnsi="Garamond"/>
          <w:i w:val="0"/>
          <w:sz w:val="22"/>
        </w:rPr>
      </w:pPr>
    </w:p>
  </w:endnote>
  <w:endnote w:id="7">
    <w:p w:rsidR="00662AE2" w:rsidRPr="00DF3378" w:rsidRDefault="00662A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sidR="00DF3378">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B06A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31" w:rsidRDefault="00460031" w:rsidP="00632EA5">
      <w:pPr>
        <w:spacing w:after="0" w:line="240" w:lineRule="auto"/>
      </w:pPr>
      <w:r>
        <w:separator/>
      </w:r>
    </w:p>
  </w:footnote>
  <w:footnote w:type="continuationSeparator" w:id="0">
    <w:p w:rsidR="00460031" w:rsidRDefault="00460031"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D16D29">
      <w:rPr>
        <w:rFonts w:ascii="Garamond" w:hAnsi="Garamond"/>
      </w:rPr>
      <w:t>History</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234BF6"/>
    <w:rsid w:val="00274127"/>
    <w:rsid w:val="002F324F"/>
    <w:rsid w:val="00460031"/>
    <w:rsid w:val="00500F02"/>
    <w:rsid w:val="0057296F"/>
    <w:rsid w:val="005B06AB"/>
    <w:rsid w:val="00632EA5"/>
    <w:rsid w:val="00662AE2"/>
    <w:rsid w:val="00670303"/>
    <w:rsid w:val="007C62DD"/>
    <w:rsid w:val="00836366"/>
    <w:rsid w:val="008726E2"/>
    <w:rsid w:val="009A31EA"/>
    <w:rsid w:val="009B039E"/>
    <w:rsid w:val="00C14740"/>
    <w:rsid w:val="00C75967"/>
    <w:rsid w:val="00D16D29"/>
    <w:rsid w:val="00D436A6"/>
    <w:rsid w:val="00D90ABE"/>
    <w:rsid w:val="00DF3378"/>
    <w:rsid w:val="00E928C2"/>
    <w:rsid w:val="00EB7D4E"/>
    <w:rsid w:val="00ED43E1"/>
    <w:rsid w:val="00EF54F0"/>
    <w:rsid w:val="00F10050"/>
    <w:rsid w:val="00F4333D"/>
    <w:rsid w:val="00F5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97E6"/>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23E3-09C8-48E8-81BA-02CAC74C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2017-09-20T19:25:00Z</dcterms:created>
  <dcterms:modified xsi:type="dcterms:W3CDTF">2018-02-09T20:43:00Z</dcterms:modified>
</cp:coreProperties>
</file>